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15 228 vom 1. Juni 2016</w:t>
      </w:r>
    </w:p>
    <w:p>
      <w:r>
        <w:t>BL Gerichte, 2016-06-01, DE</w:t>
      </w:r>
    </w:p>
    <w:p>
      <w:r>
        <w:rPr>
          <w:b/>
        </w:rPr>
        <w:t xml:space="preserve">Quelle: </w:t>
      </w:r>
      <w:r>
        <w:t>https://mcp.opencaselaw.ch/entscheid/bl_gerichte_810 15 228</w:t>
      </w:r>
    </w:p>
    <w:p>
      <w:r>
        <w:t>FR: BL_GERICHTE 810 15 228 du 1 juin 2016</w:t>
      </w:r>
    </w:p>
    <w:p>
      <w:r>
        <w:t>IT: BL_GERICHTE 810 15 228 del 1 giugno 2016</w:t>
      </w:r>
    </w:p>
    <w:p>
      <w:pPr>
        <w:pStyle w:val="Heading2"/>
      </w:pPr>
      <w:r>
        <w:t>Regeste</w:t>
      </w:r>
    </w:p>
    <w:p>
      <w:r>
        <w:t>Baugesuch für 2 Mehrfamilienhäuser mit Einstellhalle; Beurteilungsspielraum in Bezug auf die Ästhetikvorschriften korrekt angewandt; Abweisung</w:t>
      </w:r>
    </w:p>
    <w:p>
      <w:pPr>
        <w:pStyle w:val="Heading2"/>
      </w:pPr>
      <w:r>
        <w:t>Erwägungen</w:t>
      </w:r>
    </w:p>
    <w:p>
      <w:r>
        <w:rPr>
          <w:b/>
        </w:rPr>
        <w:t>E. 1</w:t>
      </w:r>
    </w:p>
    <w:p>
      <w:r>
        <w:t>Gemäss § 134 Abs. 5 des Raumplanungs- und Baugesetzes (RBG) vom 8. Januar 1998 in Verbindung mit § 43 Abs. 2 des Gesetzes über die Verfassungs- und Verwaltungsprozessordnung (VPO) vom 16. Dezember 1993 können Entscheide der Baurekurskommission durch die Betroffenen und die Gemeinden beim Kantonsgericht angefochten werden. Die Zuständigkeit des Kantonsgerichts zur Beurteilung der vorliegenden Beschwerde ist somit gegeben. Gemäss § 47 Abs. 1 lit. a VPO ist zur Beschwerde befugt, wer durch die angefochtene Verfügung oder den angefochtenen Entscheid berührt ist und ein schutzwürdiges Interesse an der Änderung oder Aufhebung hat. Diese Voraussetzungen gelten nach der Rechtsprechung in der Regel als erfüllt, wenn die Liegenschaft des Beschwerde führenden Nachbarn unmittelbar an das Baugrundstück angrenzt oder allenfalls nur durch einen Verkehrsträger davon getrennt wird (vgl. Urteil des Kantonsgerichts, Abteilung Verfassungs- und Verwaltungsrecht, [KGE VV] vom 22. April 2015 [ 810 14 227] E. 1.2.2 ; BGE 121 II 171 E. 2b; Urteil des Bundesgerichts 1C_500/2009 vom 1. Februar 2010 E. 2.3). Die Beschwerdeführer als direkte Nachbarn sind somit im Sinne von § 47 Abs. 1 lit. a VPO zur Beschwerdeerhebung legitimiert. Da auch die weiteren formellen Voraussetzungen erfüllt sind, kann auf die vorliegende Beschwerde eingetreten werden.</w:t>
      </w:r>
    </w:p>
    <w:p>
      <w:r>
        <w:rPr>
          <w:b/>
        </w:rPr>
        <w:t>E. 2</w:t>
      </w:r>
    </w:p>
    <w:p>
      <w:r>
        <w:t>Die Kognition des Kantonsgerichts beschränkt sich gemäss § 45 Abs. 1 lit. a und b VPO darauf, den angefochtenen Entscheid hinsichtlich allfälliger Rechtsverletzungen zu überprüfen bzw. zu prüfen, ob die Vorinstanz ein allfälliges Ermessen rechtsfehlerhaft ausgeübt hat. Im Weiteren kann beurteilt werden, ob diese den Sachverhalt unrichtig oder unvollständig festgestellt hat. Die Unangemessenheit eines angefochtenen Entscheids kann jedoch nur in den vom Gesetz abschliessend aufgezählten Fällen, die vorliegend nicht einschlägig sind, sowie gestützt auf spezialgesetzliche Vorschriften überprüft werden (§ 45 lit. c VPO e contrario).</w:t>
      </w:r>
    </w:p>
    <w:p>
      <w:r>
        <w:rPr>
          <w:b/>
        </w:rPr>
        <w:t>E. 3</w:t>
      </w:r>
    </w:p>
    <w:p>
      <w:r>
        <w:t>Die Beschwerdeführer haben dem privaten Beschwerdegegner eine reduzierte Parteientschädigung in der Höhe von Fr. 6‘240.25 zu bezahlen. Im Übrigen werden die Parteikosten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